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DDFB" w14:textId="77777777" w:rsidR="001A124D" w:rsidRDefault="00000000">
      <w:pPr>
        <w:jc w:val="both"/>
        <w:rPr>
          <w:b/>
          <w:bCs/>
        </w:rPr>
      </w:pPr>
      <w:r>
        <w:rPr>
          <w:noProof/>
        </w:rPr>
        <w:drawing>
          <wp:inline distT="0" distB="0" distL="0" distR="0" wp14:anchorId="0AD8EF6E" wp14:editId="3F66177E">
            <wp:extent cx="6645910" cy="7467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6645910" cy="746760"/>
                    </a:xfrm>
                    <a:prstGeom prst="rect">
                      <a:avLst/>
                    </a:prstGeom>
                    <a:noFill/>
                  </pic:spPr>
                </pic:pic>
              </a:graphicData>
            </a:graphic>
          </wp:inline>
        </w:drawing>
      </w:r>
    </w:p>
    <w:p w14:paraId="0A2BB191" w14:textId="77777777" w:rsidR="001A124D" w:rsidRDefault="001A124D">
      <w:pPr>
        <w:jc w:val="center"/>
        <w:rPr>
          <w:rFonts w:ascii="Arial" w:hAnsi="Arial" w:cs="Arial"/>
          <w:b/>
          <w:bCs/>
          <w:sz w:val="22"/>
          <w:szCs w:val="22"/>
        </w:rPr>
      </w:pPr>
    </w:p>
    <w:p w14:paraId="4947B0D0" w14:textId="7717820D" w:rsidR="001A124D" w:rsidRPr="004F797A" w:rsidRDefault="00000000">
      <w:pPr>
        <w:jc w:val="center"/>
        <w:rPr>
          <w:rFonts w:ascii="Arial Black" w:hAnsi="Arial Black" w:cs="Arial"/>
          <w:b/>
          <w:bCs/>
          <w:color w:val="000000" w:themeColor="text1"/>
          <w:sz w:val="22"/>
          <w:szCs w:val="22"/>
        </w:rPr>
      </w:pPr>
      <w:r w:rsidRPr="00572AB7">
        <w:rPr>
          <w:rFonts w:ascii="Arial Black" w:hAnsi="Arial Black" w:cs="Arial"/>
          <w:b/>
          <w:bCs/>
          <w:sz w:val="22"/>
          <w:szCs w:val="22"/>
        </w:rPr>
        <w:t xml:space="preserve">NON </w:t>
      </w:r>
      <w:r w:rsidR="004F797A">
        <w:rPr>
          <w:rFonts w:ascii="Arial Black" w:hAnsi="Arial Black" w:cs="Arial"/>
          <w:b/>
          <w:bCs/>
          <w:sz w:val="22"/>
          <w:szCs w:val="22"/>
        </w:rPr>
        <w:t>À</w:t>
      </w:r>
      <w:r w:rsidRPr="00572AB7">
        <w:rPr>
          <w:rFonts w:ascii="Arial Black" w:hAnsi="Arial Black" w:cs="Arial"/>
          <w:b/>
          <w:bCs/>
          <w:sz w:val="22"/>
          <w:szCs w:val="22"/>
        </w:rPr>
        <w:t xml:space="preserve"> LA </w:t>
      </w:r>
      <w:r w:rsidRPr="004F797A">
        <w:rPr>
          <w:rFonts w:ascii="Arial Black" w:hAnsi="Arial Black" w:cs="Arial"/>
          <w:b/>
          <w:bCs/>
          <w:color w:val="000000" w:themeColor="text1"/>
          <w:sz w:val="22"/>
          <w:szCs w:val="22"/>
        </w:rPr>
        <w:t>SUPPRESSION de L’ABATTEMENT FISCAL DE 10% POUR LES RETRAITÉ·ES</w:t>
      </w:r>
    </w:p>
    <w:p w14:paraId="5E56EAAF" w14:textId="7E13DEA4" w:rsidR="001A124D" w:rsidRPr="004F797A" w:rsidRDefault="00000000">
      <w:pPr>
        <w:jc w:val="center"/>
        <w:rPr>
          <w:rFonts w:ascii="Arial Black" w:hAnsi="Arial Black" w:cs="Arial"/>
          <w:b/>
          <w:bCs/>
          <w:color w:val="000000" w:themeColor="text1"/>
          <w:sz w:val="21"/>
          <w:szCs w:val="21"/>
        </w:rPr>
      </w:pPr>
      <w:r w:rsidRPr="004F797A">
        <w:rPr>
          <w:rFonts w:ascii="Arial Black" w:hAnsi="Arial Black" w:cs="Arial"/>
          <w:b/>
          <w:bCs/>
          <w:color w:val="000000" w:themeColor="text1"/>
          <w:sz w:val="21"/>
          <w:szCs w:val="21"/>
        </w:rPr>
        <w:t xml:space="preserve">NON </w:t>
      </w:r>
      <w:r w:rsidR="004F797A">
        <w:rPr>
          <w:rFonts w:ascii="Arial Black" w:hAnsi="Arial Black" w:cs="Arial"/>
          <w:b/>
          <w:bCs/>
          <w:color w:val="000000" w:themeColor="text1"/>
          <w:sz w:val="21"/>
          <w:szCs w:val="21"/>
        </w:rPr>
        <w:t>À</w:t>
      </w:r>
      <w:r w:rsidRPr="004F797A">
        <w:rPr>
          <w:rFonts w:ascii="Arial Black" w:hAnsi="Arial Black" w:cs="Arial"/>
          <w:b/>
          <w:bCs/>
          <w:color w:val="000000" w:themeColor="text1"/>
          <w:sz w:val="21"/>
          <w:szCs w:val="21"/>
        </w:rPr>
        <w:t xml:space="preserve"> UNE NOUVELLE ANNÉE BLANCHE, REVALORISATION DE TOUTES LES PENSIONS</w:t>
      </w:r>
    </w:p>
    <w:p w14:paraId="47763495" w14:textId="57A68DDE" w:rsidR="001A124D" w:rsidRPr="004F797A" w:rsidRDefault="00000000">
      <w:pPr>
        <w:jc w:val="center"/>
        <w:rPr>
          <w:rFonts w:ascii="Arial Black" w:hAnsi="Arial Black" w:cs="Arial"/>
          <w:b/>
          <w:bCs/>
          <w:color w:val="000000" w:themeColor="text1"/>
          <w:sz w:val="22"/>
          <w:szCs w:val="22"/>
        </w:rPr>
      </w:pPr>
      <w:r w:rsidRPr="004F797A">
        <w:rPr>
          <w:rFonts w:ascii="Arial Black" w:hAnsi="Arial Black" w:cs="Arial"/>
          <w:b/>
          <w:bCs/>
          <w:color w:val="000000" w:themeColor="text1"/>
          <w:sz w:val="22"/>
          <w:szCs w:val="22"/>
        </w:rPr>
        <w:t xml:space="preserve">NON </w:t>
      </w:r>
      <w:r w:rsidR="004F797A">
        <w:rPr>
          <w:rFonts w:ascii="Arial Black" w:hAnsi="Arial Black" w:cs="Arial"/>
          <w:b/>
          <w:bCs/>
          <w:color w:val="000000" w:themeColor="text1"/>
          <w:sz w:val="22"/>
          <w:szCs w:val="22"/>
        </w:rPr>
        <w:t>À</w:t>
      </w:r>
      <w:r w:rsidRPr="004F797A">
        <w:rPr>
          <w:rFonts w:ascii="Arial Black" w:hAnsi="Arial Black" w:cs="Arial"/>
          <w:b/>
          <w:bCs/>
          <w:color w:val="000000" w:themeColor="text1"/>
          <w:sz w:val="22"/>
          <w:szCs w:val="22"/>
        </w:rPr>
        <w:t xml:space="preserve"> L’AUGMENTATION DE LA CSG</w:t>
      </w:r>
    </w:p>
    <w:p w14:paraId="1CCC1F62" w14:textId="50FDE7E1" w:rsidR="001A124D" w:rsidRPr="00C80C52" w:rsidRDefault="004F797A" w:rsidP="00C80C52">
      <w:pPr>
        <w:spacing w:after="120"/>
        <w:jc w:val="center"/>
        <w:rPr>
          <w:rFonts w:ascii="Arial Black" w:hAnsi="Arial Black" w:cs="Arial"/>
          <w:b/>
          <w:bCs/>
          <w:color w:val="000000" w:themeColor="text1"/>
          <w:sz w:val="32"/>
          <w:szCs w:val="32"/>
        </w:rPr>
      </w:pPr>
      <w:r w:rsidRPr="00C80C52">
        <w:rPr>
          <w:rFonts w:ascii="Arial Black" w:hAnsi="Arial Black" w:cs="Arial"/>
          <w:b/>
          <w:bCs/>
          <w:color w:val="000000" w:themeColor="text1"/>
          <w:sz w:val="32"/>
          <w:szCs w:val="32"/>
        </w:rPr>
        <w:t>Ç</w:t>
      </w:r>
      <w:r w:rsidR="00000000" w:rsidRPr="00C80C52">
        <w:rPr>
          <w:rFonts w:ascii="Arial Black" w:hAnsi="Arial Black" w:cs="Arial"/>
          <w:b/>
          <w:bCs/>
          <w:color w:val="000000" w:themeColor="text1"/>
          <w:sz w:val="32"/>
          <w:szCs w:val="32"/>
        </w:rPr>
        <w:t>A SUFFIT !</w:t>
      </w:r>
    </w:p>
    <w:p w14:paraId="5DDCB19D" w14:textId="77777777" w:rsidR="001A124D" w:rsidRPr="004F797A" w:rsidRDefault="00000000">
      <w:pPr>
        <w:jc w:val="center"/>
        <w:rPr>
          <w:rFonts w:ascii="Arial Black" w:hAnsi="Arial Black" w:cs="Arial"/>
          <w:b/>
          <w:bCs/>
          <w:color w:val="000000" w:themeColor="text1"/>
          <w:sz w:val="32"/>
          <w:szCs w:val="32"/>
        </w:rPr>
      </w:pPr>
      <w:r w:rsidRPr="004F797A">
        <w:rPr>
          <w:rFonts w:ascii="Arial Black" w:hAnsi="Arial Black" w:cs="Arial"/>
          <w:b/>
          <w:bCs/>
          <w:color w:val="000000" w:themeColor="text1"/>
          <w:sz w:val="32"/>
          <w:szCs w:val="32"/>
        </w:rPr>
        <w:t xml:space="preserve">Les </w:t>
      </w:r>
      <w:proofErr w:type="spellStart"/>
      <w:r w:rsidRPr="004F797A">
        <w:rPr>
          <w:rFonts w:ascii="Arial Black" w:hAnsi="Arial Black" w:cs="Arial"/>
          <w:b/>
          <w:bCs/>
          <w:color w:val="000000" w:themeColor="text1"/>
          <w:sz w:val="32"/>
          <w:szCs w:val="32"/>
        </w:rPr>
        <w:t>retraité·es</w:t>
      </w:r>
      <w:proofErr w:type="spellEnd"/>
      <w:r w:rsidRPr="004F797A">
        <w:rPr>
          <w:rFonts w:ascii="Arial Black" w:hAnsi="Arial Black" w:cs="Arial"/>
          <w:b/>
          <w:bCs/>
          <w:color w:val="000000" w:themeColor="text1"/>
          <w:sz w:val="32"/>
          <w:szCs w:val="32"/>
        </w:rPr>
        <w:t xml:space="preserve"> ne sont ni des </w:t>
      </w:r>
      <w:proofErr w:type="spellStart"/>
      <w:r w:rsidRPr="004F797A">
        <w:rPr>
          <w:rFonts w:ascii="Arial Black" w:hAnsi="Arial Black" w:cs="Arial"/>
          <w:b/>
          <w:bCs/>
          <w:color w:val="000000" w:themeColor="text1"/>
          <w:sz w:val="32"/>
          <w:szCs w:val="32"/>
        </w:rPr>
        <w:t>nanti·es</w:t>
      </w:r>
      <w:proofErr w:type="spellEnd"/>
      <w:r w:rsidRPr="004F797A">
        <w:rPr>
          <w:rFonts w:ascii="Arial Black" w:hAnsi="Arial Black" w:cs="Arial"/>
          <w:b/>
          <w:bCs/>
          <w:color w:val="000000" w:themeColor="text1"/>
          <w:sz w:val="32"/>
          <w:szCs w:val="32"/>
        </w:rPr>
        <w:t>, ni des vaches à lait.</w:t>
      </w:r>
    </w:p>
    <w:p w14:paraId="7696CB05" w14:textId="77777777" w:rsidR="001A124D" w:rsidRPr="00C80C52" w:rsidRDefault="00000000" w:rsidP="00C80C52">
      <w:pPr>
        <w:spacing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 xml:space="preserve">Depuis plusieurs semaines, le patronat et le gouvernement multiplient les déclarations dans la presse pour convaincre l’opinion publique de la nécessité de supprimer l’abattement fiscal de 10% sur les revenus des </w:t>
      </w:r>
      <w:proofErr w:type="spellStart"/>
      <w:r w:rsidRPr="00C80C52">
        <w:rPr>
          <w:rFonts w:ascii="Times New Roman" w:hAnsi="Times New Roman" w:cs="Times New Roman"/>
          <w:color w:val="000000" w:themeColor="text1"/>
          <w:sz w:val="25"/>
          <w:szCs w:val="25"/>
        </w:rPr>
        <w:t>retraité·es</w:t>
      </w:r>
      <w:proofErr w:type="spellEnd"/>
      <w:r w:rsidRPr="00C80C52">
        <w:rPr>
          <w:rFonts w:ascii="Times New Roman" w:hAnsi="Times New Roman" w:cs="Times New Roman"/>
          <w:color w:val="000000" w:themeColor="text1"/>
          <w:sz w:val="25"/>
          <w:szCs w:val="25"/>
        </w:rPr>
        <w:t xml:space="preserve">. </w:t>
      </w:r>
    </w:p>
    <w:p w14:paraId="11F769BE" w14:textId="77777777" w:rsidR="001A124D" w:rsidRPr="00C80C52" w:rsidRDefault="00000000" w:rsidP="00C80C52">
      <w:pPr>
        <w:spacing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 xml:space="preserve">Cet abattement, contrairement aux affirmations mensongères du président du Medef, qui l’a jugé « contre nature » et « aberrant », ne doit pas être confondu avec la déduction fiscale forfaitaire dont bénéficient les actifs et les actives au titre des frais professionnels. </w:t>
      </w:r>
    </w:p>
    <w:p w14:paraId="5BA0594A" w14:textId="77777777" w:rsidR="001A124D" w:rsidRPr="00C80C52" w:rsidRDefault="00000000" w:rsidP="00C80C52">
      <w:pPr>
        <w:spacing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 xml:space="preserve">Il a été mis en place en 1978 pour alléger la charge fiscale des </w:t>
      </w:r>
      <w:proofErr w:type="spellStart"/>
      <w:r w:rsidRPr="00C80C52">
        <w:rPr>
          <w:rFonts w:ascii="Times New Roman" w:hAnsi="Times New Roman" w:cs="Times New Roman"/>
          <w:color w:val="000000" w:themeColor="text1"/>
          <w:sz w:val="25"/>
          <w:szCs w:val="25"/>
        </w:rPr>
        <w:t>retraité·es</w:t>
      </w:r>
      <w:proofErr w:type="spellEnd"/>
      <w:r w:rsidRPr="00C80C52">
        <w:rPr>
          <w:rFonts w:ascii="Times New Roman" w:hAnsi="Times New Roman" w:cs="Times New Roman"/>
          <w:color w:val="000000" w:themeColor="text1"/>
          <w:sz w:val="25"/>
          <w:szCs w:val="25"/>
        </w:rPr>
        <w:t xml:space="preserve"> qui, contrairement à certaines catégories de non </w:t>
      </w:r>
      <w:proofErr w:type="spellStart"/>
      <w:r w:rsidRPr="00C80C52">
        <w:rPr>
          <w:rFonts w:ascii="Times New Roman" w:hAnsi="Times New Roman" w:cs="Times New Roman"/>
          <w:color w:val="000000" w:themeColor="text1"/>
          <w:sz w:val="25"/>
          <w:szCs w:val="25"/>
        </w:rPr>
        <w:t>salarié·es</w:t>
      </w:r>
      <w:proofErr w:type="spellEnd"/>
      <w:r w:rsidRPr="00C80C52">
        <w:rPr>
          <w:rFonts w:ascii="Times New Roman" w:hAnsi="Times New Roman" w:cs="Times New Roman"/>
          <w:color w:val="000000" w:themeColor="text1"/>
          <w:sz w:val="25"/>
          <w:szCs w:val="25"/>
        </w:rPr>
        <w:t xml:space="preserve">, ne risquaient pas de faire des sous déclarations. </w:t>
      </w:r>
    </w:p>
    <w:p w14:paraId="318E5FB9" w14:textId="77777777" w:rsidR="001A124D" w:rsidRPr="00C80C52" w:rsidRDefault="00000000" w:rsidP="00C80C52">
      <w:pPr>
        <w:spacing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 xml:space="preserve">Si le gouvernement persiste dans cette voie, près de 50% des </w:t>
      </w:r>
      <w:proofErr w:type="spellStart"/>
      <w:r w:rsidRPr="00C80C52">
        <w:rPr>
          <w:rFonts w:ascii="Times New Roman" w:hAnsi="Times New Roman" w:cs="Times New Roman"/>
          <w:color w:val="000000" w:themeColor="text1"/>
          <w:sz w:val="25"/>
          <w:szCs w:val="25"/>
        </w:rPr>
        <w:t>retraité·es</w:t>
      </w:r>
      <w:proofErr w:type="spellEnd"/>
      <w:r w:rsidRPr="00C80C52">
        <w:rPr>
          <w:rFonts w:ascii="Times New Roman" w:hAnsi="Times New Roman" w:cs="Times New Roman"/>
          <w:color w:val="000000" w:themeColor="text1"/>
          <w:sz w:val="25"/>
          <w:szCs w:val="25"/>
        </w:rPr>
        <w:t xml:space="preserve"> seraient </w:t>
      </w:r>
      <w:proofErr w:type="spellStart"/>
      <w:r w:rsidRPr="00C80C52">
        <w:rPr>
          <w:rFonts w:ascii="Times New Roman" w:hAnsi="Times New Roman" w:cs="Times New Roman"/>
          <w:color w:val="000000" w:themeColor="text1"/>
          <w:sz w:val="25"/>
          <w:szCs w:val="25"/>
        </w:rPr>
        <w:t>pénalisé·es</w:t>
      </w:r>
      <w:proofErr w:type="spellEnd"/>
      <w:r w:rsidRPr="00C80C52">
        <w:rPr>
          <w:rFonts w:ascii="Times New Roman" w:hAnsi="Times New Roman" w:cs="Times New Roman"/>
          <w:color w:val="000000" w:themeColor="text1"/>
          <w:sz w:val="25"/>
          <w:szCs w:val="25"/>
        </w:rPr>
        <w:t xml:space="preserve"> en voyant leur taux d’imposition augmenter, en devenant éventuellement imposables. Dans tous les cas, cela aura aussi des incidences sur les taux de CSG et sur les droits calculés selon le revenu fiscal de référence.</w:t>
      </w:r>
    </w:p>
    <w:p w14:paraId="3DFB0F01" w14:textId="2C78710C" w:rsidR="001A124D" w:rsidRPr="00C80C52" w:rsidRDefault="00000000" w:rsidP="00C80C52">
      <w:pPr>
        <w:spacing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Depuis l’arrivée de M. Macron au pouvoir, ils ont déjà perdu au moins 6</w:t>
      </w:r>
      <w:r w:rsidR="00C80C52" w:rsidRPr="00C80C52">
        <w:rPr>
          <w:rFonts w:ascii="Times New Roman" w:hAnsi="Times New Roman" w:cs="Times New Roman"/>
          <w:color w:val="000000" w:themeColor="text1"/>
          <w:sz w:val="21"/>
          <w:szCs w:val="21"/>
        </w:rPr>
        <w:t> </w:t>
      </w:r>
      <w:r w:rsidRPr="00C80C52">
        <w:rPr>
          <w:rFonts w:ascii="Times New Roman" w:hAnsi="Times New Roman" w:cs="Times New Roman"/>
          <w:color w:val="000000" w:themeColor="text1"/>
          <w:sz w:val="25"/>
          <w:szCs w:val="25"/>
        </w:rPr>
        <w:t xml:space="preserve">% de pouvoir d’achat et pour </w:t>
      </w:r>
      <w:proofErr w:type="spellStart"/>
      <w:r w:rsidRPr="00C80C52">
        <w:rPr>
          <w:rFonts w:ascii="Times New Roman" w:hAnsi="Times New Roman" w:cs="Times New Roman"/>
          <w:color w:val="000000" w:themeColor="text1"/>
          <w:sz w:val="25"/>
          <w:szCs w:val="25"/>
        </w:rPr>
        <w:t>certain·es</w:t>
      </w:r>
      <w:proofErr w:type="spellEnd"/>
      <w:r w:rsidRPr="00C80C52">
        <w:rPr>
          <w:rFonts w:ascii="Times New Roman" w:hAnsi="Times New Roman" w:cs="Times New Roman"/>
          <w:color w:val="000000" w:themeColor="text1"/>
          <w:sz w:val="25"/>
          <w:szCs w:val="25"/>
        </w:rPr>
        <w:t xml:space="preserve"> jusqu’à 7% du fait de la non-indexation des retraites sur l’inflation et de l’augmentation de la CSG.</w:t>
      </w:r>
    </w:p>
    <w:p w14:paraId="637B6830" w14:textId="77777777" w:rsidR="001A124D" w:rsidRDefault="00000000" w:rsidP="00C80C52">
      <w:pPr>
        <w:spacing w:after="120" w:line="290" w:lineRule="exact"/>
        <w:jc w:val="both"/>
        <w:rPr>
          <w:rFonts w:ascii="Times New Roman" w:hAnsi="Times New Roman" w:cs="Times New Roman"/>
          <w:color w:val="000000" w:themeColor="text1"/>
          <w:sz w:val="25"/>
          <w:szCs w:val="25"/>
        </w:rPr>
      </w:pPr>
      <w:r w:rsidRPr="00C80C52">
        <w:rPr>
          <w:rFonts w:ascii="Times New Roman" w:hAnsi="Times New Roman" w:cs="Times New Roman"/>
          <w:color w:val="000000" w:themeColor="text1"/>
          <w:sz w:val="25"/>
          <w:szCs w:val="25"/>
        </w:rPr>
        <w:t xml:space="preserve">Ça suffit ! les </w:t>
      </w:r>
      <w:proofErr w:type="spellStart"/>
      <w:r w:rsidRPr="00C80C52">
        <w:rPr>
          <w:rFonts w:ascii="Times New Roman" w:hAnsi="Times New Roman" w:cs="Times New Roman"/>
          <w:color w:val="000000" w:themeColor="text1"/>
          <w:sz w:val="25"/>
          <w:szCs w:val="25"/>
        </w:rPr>
        <w:t>retraité·es</w:t>
      </w:r>
      <w:proofErr w:type="spellEnd"/>
      <w:r w:rsidRPr="00C80C52">
        <w:rPr>
          <w:rFonts w:ascii="Times New Roman" w:hAnsi="Times New Roman" w:cs="Times New Roman"/>
          <w:color w:val="000000" w:themeColor="text1"/>
          <w:sz w:val="25"/>
          <w:szCs w:val="25"/>
        </w:rPr>
        <w:t xml:space="preserve"> ne sont ni des </w:t>
      </w:r>
      <w:proofErr w:type="spellStart"/>
      <w:r w:rsidRPr="00C80C52">
        <w:rPr>
          <w:rFonts w:ascii="Times New Roman" w:hAnsi="Times New Roman" w:cs="Times New Roman"/>
          <w:color w:val="000000" w:themeColor="text1"/>
          <w:sz w:val="25"/>
          <w:szCs w:val="25"/>
        </w:rPr>
        <w:t>nanti·es</w:t>
      </w:r>
      <w:proofErr w:type="spellEnd"/>
      <w:r w:rsidRPr="00C80C52">
        <w:rPr>
          <w:rFonts w:ascii="Times New Roman" w:hAnsi="Times New Roman" w:cs="Times New Roman"/>
          <w:color w:val="000000" w:themeColor="text1"/>
          <w:sz w:val="25"/>
          <w:szCs w:val="25"/>
        </w:rPr>
        <w:t xml:space="preserve">, ni des vaches à lait. </w:t>
      </w:r>
    </w:p>
    <w:p w14:paraId="57B3896D" w14:textId="77777777" w:rsidR="00C80C52" w:rsidRPr="00C80C52" w:rsidRDefault="00C80C52" w:rsidP="00C80C52">
      <w:pPr>
        <w:spacing w:after="0" w:line="290" w:lineRule="exact"/>
        <w:jc w:val="both"/>
        <w:rPr>
          <w:rFonts w:ascii="Times New Roman" w:hAnsi="Times New Roman" w:cs="Times New Roman"/>
          <w:color w:val="000000" w:themeColor="text1"/>
          <w:sz w:val="25"/>
          <w:szCs w:val="25"/>
        </w:rPr>
      </w:pPr>
    </w:p>
    <w:p w14:paraId="1058D694" w14:textId="77777777" w:rsidR="001A124D" w:rsidRPr="00C80C52" w:rsidRDefault="00000000" w:rsidP="004F797A">
      <w:pPr>
        <w:spacing w:after="240" w:line="300" w:lineRule="exact"/>
        <w:jc w:val="center"/>
        <w:rPr>
          <w:rFonts w:ascii="Arial Black" w:hAnsi="Arial Black" w:cs="Arial"/>
          <w:b/>
          <w:bCs/>
          <w:color w:val="000000" w:themeColor="text1"/>
          <w:sz w:val="28"/>
          <w:szCs w:val="28"/>
        </w:rPr>
      </w:pPr>
      <w:r w:rsidRPr="00C80C52">
        <w:rPr>
          <w:rFonts w:ascii="Arial Black" w:hAnsi="Arial Black" w:cs="Arial"/>
          <w:b/>
          <w:bCs/>
          <w:color w:val="000000" w:themeColor="text1"/>
          <w:sz w:val="28"/>
          <w:szCs w:val="28"/>
        </w:rPr>
        <w:t xml:space="preserve">Les </w:t>
      </w:r>
      <w:proofErr w:type="spellStart"/>
      <w:r w:rsidRPr="00C80C52">
        <w:rPr>
          <w:rFonts w:ascii="Arial Black" w:hAnsi="Arial Black" w:cs="Arial"/>
          <w:b/>
          <w:bCs/>
          <w:color w:val="000000" w:themeColor="text1"/>
          <w:sz w:val="28"/>
          <w:szCs w:val="28"/>
        </w:rPr>
        <w:t>soussigné·es</w:t>
      </w:r>
      <w:proofErr w:type="spellEnd"/>
      <w:r w:rsidRPr="00C80C52">
        <w:rPr>
          <w:rFonts w:ascii="Arial Black" w:hAnsi="Arial Black" w:cs="Arial"/>
          <w:b/>
          <w:bCs/>
          <w:color w:val="000000" w:themeColor="text1"/>
          <w:sz w:val="28"/>
          <w:szCs w:val="28"/>
        </w:rPr>
        <w:t xml:space="preserve"> exigent du gouvernement :</w:t>
      </w:r>
    </w:p>
    <w:p w14:paraId="3B2C96C6" w14:textId="77777777" w:rsidR="001A124D" w:rsidRPr="004F797A" w:rsidRDefault="00000000" w:rsidP="00C80C52">
      <w:pPr>
        <w:pStyle w:val="Paragraphedeliste"/>
        <w:numPr>
          <w:ilvl w:val="0"/>
          <w:numId w:val="1"/>
        </w:numPr>
        <w:spacing w:line="240" w:lineRule="auto"/>
        <w:ind w:left="641" w:hanging="284"/>
        <w:jc w:val="both"/>
        <w:rPr>
          <w:rFonts w:ascii="Arial Black" w:hAnsi="Arial Black" w:cs="Arial"/>
          <w:b/>
          <w:bCs/>
          <w:color w:val="000000" w:themeColor="text1"/>
        </w:rPr>
      </w:pPr>
      <w:r w:rsidRPr="004F797A">
        <w:rPr>
          <w:rFonts w:ascii="Arial Black" w:hAnsi="Arial Black" w:cs="Arial"/>
          <w:b/>
          <w:bCs/>
          <w:color w:val="000000" w:themeColor="text1"/>
        </w:rPr>
        <w:t>Le maintien de l’abattement de 10%</w:t>
      </w:r>
    </w:p>
    <w:p w14:paraId="38A10DCF" w14:textId="77777777" w:rsidR="001A124D" w:rsidRPr="004F797A" w:rsidRDefault="00000000" w:rsidP="00C80C52">
      <w:pPr>
        <w:pStyle w:val="Paragraphedeliste"/>
        <w:numPr>
          <w:ilvl w:val="0"/>
          <w:numId w:val="1"/>
        </w:numPr>
        <w:spacing w:line="240" w:lineRule="auto"/>
        <w:ind w:left="641" w:hanging="284"/>
        <w:jc w:val="both"/>
        <w:rPr>
          <w:rFonts w:ascii="Arial Black" w:hAnsi="Arial Black" w:cs="Arial"/>
          <w:b/>
          <w:bCs/>
          <w:color w:val="000000" w:themeColor="text1"/>
        </w:rPr>
      </w:pPr>
      <w:r w:rsidRPr="004F797A">
        <w:rPr>
          <w:rFonts w:ascii="Arial Black" w:hAnsi="Arial Black" w:cs="Arial"/>
          <w:b/>
          <w:bCs/>
          <w:color w:val="000000" w:themeColor="text1"/>
        </w:rPr>
        <w:t>La non-augmentation de la CSG</w:t>
      </w:r>
    </w:p>
    <w:p w14:paraId="159B9CE9" w14:textId="77777777" w:rsidR="001A124D" w:rsidRPr="004F797A" w:rsidRDefault="00000000" w:rsidP="00C80C52">
      <w:pPr>
        <w:pStyle w:val="Paragraphedeliste"/>
        <w:numPr>
          <w:ilvl w:val="0"/>
          <w:numId w:val="1"/>
        </w:numPr>
        <w:spacing w:line="240" w:lineRule="auto"/>
        <w:ind w:left="641" w:hanging="284"/>
        <w:jc w:val="both"/>
        <w:rPr>
          <w:rFonts w:ascii="Arial Black" w:hAnsi="Arial Black" w:cs="Arial"/>
          <w:b/>
          <w:bCs/>
          <w:color w:val="000000" w:themeColor="text1"/>
        </w:rPr>
      </w:pPr>
      <w:r w:rsidRPr="004F797A">
        <w:rPr>
          <w:rFonts w:ascii="Arial Black" w:hAnsi="Arial Black" w:cs="Arial"/>
          <w:b/>
          <w:bCs/>
          <w:color w:val="000000" w:themeColor="text1"/>
        </w:rPr>
        <w:t xml:space="preserve">La revalorisation de toutes les pensions, au moins au niveau de l’inflation.  </w:t>
      </w:r>
    </w:p>
    <w:p w14:paraId="0DDF60E7" w14:textId="77777777" w:rsidR="001A124D" w:rsidRPr="004F797A" w:rsidRDefault="001A124D" w:rsidP="00572AB7">
      <w:pPr>
        <w:spacing w:after="0" w:line="240" w:lineRule="auto"/>
        <w:jc w:val="both"/>
        <w:rPr>
          <w:rFonts w:ascii="Arial" w:hAnsi="Arial" w:cs="Arial"/>
          <w:color w:val="000000" w:themeColor="text1"/>
          <w:sz w:val="22"/>
          <w:szCs w:val="22"/>
        </w:rPr>
      </w:pPr>
    </w:p>
    <w:tbl>
      <w:tblPr>
        <w:tblStyle w:val="Grilledutableau"/>
        <w:tblW w:w="10490" w:type="dxa"/>
        <w:tblInd w:w="-5" w:type="dxa"/>
        <w:tblLayout w:type="fixed"/>
        <w:tblLook w:val="04A0" w:firstRow="1" w:lastRow="0" w:firstColumn="1" w:lastColumn="0" w:noHBand="0" w:noVBand="1"/>
      </w:tblPr>
      <w:tblGrid>
        <w:gridCol w:w="1844"/>
        <w:gridCol w:w="1700"/>
        <w:gridCol w:w="3686"/>
        <w:gridCol w:w="3260"/>
      </w:tblGrid>
      <w:tr w:rsidR="004F797A" w:rsidRPr="004F797A" w14:paraId="6903CB42" w14:textId="77777777" w:rsidTr="00D9111B">
        <w:trPr>
          <w:trHeight w:val="510"/>
        </w:trPr>
        <w:tc>
          <w:tcPr>
            <w:tcW w:w="1843" w:type="dxa"/>
          </w:tcPr>
          <w:p w14:paraId="4D95319E" w14:textId="77777777" w:rsidR="001A124D" w:rsidRPr="004F797A" w:rsidRDefault="00000000" w:rsidP="00C80C52">
            <w:pPr>
              <w:spacing w:before="120" w:after="0" w:line="240" w:lineRule="auto"/>
              <w:jc w:val="center"/>
              <w:rPr>
                <w:rFonts w:ascii="Arial" w:hAnsi="Arial" w:cs="Arial"/>
                <w:color w:val="000000" w:themeColor="text1"/>
                <w:sz w:val="22"/>
                <w:szCs w:val="22"/>
              </w:rPr>
            </w:pPr>
            <w:r w:rsidRPr="004F797A">
              <w:rPr>
                <w:rFonts w:ascii="Arial" w:eastAsia="Malgun Gothic" w:hAnsi="Arial" w:cs="Arial"/>
                <w:color w:val="000000" w:themeColor="text1"/>
                <w:sz w:val="22"/>
                <w:szCs w:val="22"/>
              </w:rPr>
              <w:t>NOM</w:t>
            </w:r>
          </w:p>
        </w:tc>
        <w:tc>
          <w:tcPr>
            <w:tcW w:w="1700" w:type="dxa"/>
          </w:tcPr>
          <w:p w14:paraId="6F9D60F9" w14:textId="77777777" w:rsidR="001A124D" w:rsidRPr="004F797A" w:rsidRDefault="00000000" w:rsidP="00C80C52">
            <w:pPr>
              <w:spacing w:before="120" w:after="0" w:line="240" w:lineRule="auto"/>
              <w:jc w:val="center"/>
              <w:rPr>
                <w:rFonts w:ascii="Arial" w:hAnsi="Arial" w:cs="Arial"/>
                <w:color w:val="000000" w:themeColor="text1"/>
                <w:sz w:val="22"/>
                <w:szCs w:val="22"/>
              </w:rPr>
            </w:pPr>
            <w:r w:rsidRPr="004F797A">
              <w:rPr>
                <w:rFonts w:ascii="Arial" w:eastAsia="Malgun Gothic" w:hAnsi="Arial" w:cs="Arial"/>
                <w:color w:val="000000" w:themeColor="text1"/>
                <w:sz w:val="22"/>
                <w:szCs w:val="22"/>
              </w:rPr>
              <w:t>PRÉNOM</w:t>
            </w:r>
          </w:p>
        </w:tc>
        <w:tc>
          <w:tcPr>
            <w:tcW w:w="3686" w:type="dxa"/>
          </w:tcPr>
          <w:p w14:paraId="039E23DA" w14:textId="77777777" w:rsidR="001A124D" w:rsidRPr="004F797A" w:rsidRDefault="00000000" w:rsidP="00C80C52">
            <w:pPr>
              <w:spacing w:before="120" w:after="0" w:line="240" w:lineRule="auto"/>
              <w:jc w:val="center"/>
              <w:rPr>
                <w:rFonts w:ascii="Arial" w:hAnsi="Arial" w:cs="Arial"/>
                <w:color w:val="000000" w:themeColor="text1"/>
                <w:sz w:val="22"/>
                <w:szCs w:val="22"/>
              </w:rPr>
            </w:pPr>
            <w:r w:rsidRPr="004F797A">
              <w:rPr>
                <w:rFonts w:ascii="Arial" w:eastAsia="Malgun Gothic" w:hAnsi="Arial" w:cs="Arial"/>
                <w:color w:val="000000" w:themeColor="text1"/>
                <w:sz w:val="22"/>
                <w:szCs w:val="22"/>
              </w:rPr>
              <w:t>ADRESSE</w:t>
            </w:r>
          </w:p>
        </w:tc>
        <w:tc>
          <w:tcPr>
            <w:tcW w:w="3260" w:type="dxa"/>
          </w:tcPr>
          <w:p w14:paraId="64D20B2E" w14:textId="77777777" w:rsidR="001A124D" w:rsidRPr="004F797A" w:rsidRDefault="00000000" w:rsidP="00C80C52">
            <w:pPr>
              <w:spacing w:before="120" w:after="0" w:line="240" w:lineRule="auto"/>
              <w:jc w:val="center"/>
              <w:rPr>
                <w:rFonts w:ascii="Arial" w:hAnsi="Arial" w:cs="Arial"/>
                <w:color w:val="000000" w:themeColor="text1"/>
                <w:sz w:val="22"/>
                <w:szCs w:val="22"/>
              </w:rPr>
            </w:pPr>
            <w:r w:rsidRPr="004F797A">
              <w:rPr>
                <w:rFonts w:ascii="Arial" w:eastAsia="Malgun Gothic" w:hAnsi="Arial" w:cs="Arial"/>
                <w:color w:val="000000" w:themeColor="text1"/>
                <w:sz w:val="22"/>
                <w:szCs w:val="22"/>
              </w:rPr>
              <w:t>SIGNATURE</w:t>
            </w:r>
          </w:p>
        </w:tc>
      </w:tr>
      <w:tr w:rsidR="004F797A" w:rsidRPr="004F797A" w14:paraId="38F5D06C" w14:textId="77777777">
        <w:trPr>
          <w:trHeight w:val="633"/>
        </w:trPr>
        <w:tc>
          <w:tcPr>
            <w:tcW w:w="1843" w:type="dxa"/>
          </w:tcPr>
          <w:p w14:paraId="5199A43A" w14:textId="77777777" w:rsidR="001A124D" w:rsidRPr="004F797A" w:rsidRDefault="001A124D">
            <w:pPr>
              <w:spacing w:after="0" w:line="240" w:lineRule="auto"/>
              <w:jc w:val="both"/>
              <w:rPr>
                <w:rFonts w:ascii="Arial" w:hAnsi="Arial" w:cs="Arial"/>
                <w:color w:val="000000" w:themeColor="text1"/>
              </w:rPr>
            </w:pPr>
          </w:p>
        </w:tc>
        <w:tc>
          <w:tcPr>
            <w:tcW w:w="1700" w:type="dxa"/>
          </w:tcPr>
          <w:p w14:paraId="0E3E2B93" w14:textId="77777777" w:rsidR="001A124D" w:rsidRPr="004F797A" w:rsidRDefault="001A124D">
            <w:pPr>
              <w:spacing w:after="0" w:line="240" w:lineRule="auto"/>
              <w:jc w:val="both"/>
              <w:rPr>
                <w:rFonts w:ascii="Arial" w:hAnsi="Arial" w:cs="Arial"/>
                <w:color w:val="000000" w:themeColor="text1"/>
              </w:rPr>
            </w:pPr>
          </w:p>
        </w:tc>
        <w:tc>
          <w:tcPr>
            <w:tcW w:w="3686" w:type="dxa"/>
          </w:tcPr>
          <w:p w14:paraId="021A6C77" w14:textId="77777777" w:rsidR="001A124D" w:rsidRPr="004F797A" w:rsidRDefault="001A124D">
            <w:pPr>
              <w:spacing w:after="0" w:line="240" w:lineRule="auto"/>
              <w:jc w:val="both"/>
              <w:rPr>
                <w:rFonts w:ascii="Arial" w:hAnsi="Arial" w:cs="Arial"/>
                <w:color w:val="000000" w:themeColor="text1"/>
              </w:rPr>
            </w:pPr>
          </w:p>
        </w:tc>
        <w:tc>
          <w:tcPr>
            <w:tcW w:w="3260" w:type="dxa"/>
          </w:tcPr>
          <w:p w14:paraId="4ABFBE56" w14:textId="77777777" w:rsidR="001A124D" w:rsidRPr="004F797A" w:rsidRDefault="001A124D">
            <w:pPr>
              <w:spacing w:after="0" w:line="240" w:lineRule="auto"/>
              <w:jc w:val="center"/>
              <w:rPr>
                <w:rFonts w:ascii="Arial" w:hAnsi="Arial" w:cs="Arial"/>
                <w:color w:val="000000" w:themeColor="text1"/>
              </w:rPr>
            </w:pPr>
          </w:p>
        </w:tc>
      </w:tr>
      <w:tr w:rsidR="004F797A" w:rsidRPr="004F797A" w14:paraId="4B67C713" w14:textId="77777777">
        <w:trPr>
          <w:trHeight w:val="633"/>
        </w:trPr>
        <w:tc>
          <w:tcPr>
            <w:tcW w:w="1843" w:type="dxa"/>
          </w:tcPr>
          <w:p w14:paraId="49498E49" w14:textId="77777777" w:rsidR="001A124D" w:rsidRPr="004F797A" w:rsidRDefault="001A124D">
            <w:pPr>
              <w:spacing w:after="0" w:line="240" w:lineRule="auto"/>
              <w:jc w:val="both"/>
              <w:rPr>
                <w:rFonts w:ascii="Arial" w:hAnsi="Arial" w:cs="Arial"/>
                <w:color w:val="000000" w:themeColor="text1"/>
              </w:rPr>
            </w:pPr>
          </w:p>
        </w:tc>
        <w:tc>
          <w:tcPr>
            <w:tcW w:w="1700" w:type="dxa"/>
          </w:tcPr>
          <w:p w14:paraId="25E45233" w14:textId="77777777" w:rsidR="001A124D" w:rsidRPr="004F797A" w:rsidRDefault="001A124D">
            <w:pPr>
              <w:spacing w:after="0" w:line="240" w:lineRule="auto"/>
              <w:jc w:val="both"/>
              <w:rPr>
                <w:rFonts w:ascii="Arial" w:hAnsi="Arial" w:cs="Arial"/>
                <w:color w:val="000000" w:themeColor="text1"/>
              </w:rPr>
            </w:pPr>
          </w:p>
        </w:tc>
        <w:tc>
          <w:tcPr>
            <w:tcW w:w="3686" w:type="dxa"/>
          </w:tcPr>
          <w:p w14:paraId="43323389" w14:textId="77777777" w:rsidR="001A124D" w:rsidRPr="004F797A" w:rsidRDefault="001A124D">
            <w:pPr>
              <w:spacing w:after="0" w:line="240" w:lineRule="auto"/>
              <w:jc w:val="both"/>
              <w:rPr>
                <w:rFonts w:ascii="Arial" w:hAnsi="Arial" w:cs="Arial"/>
                <w:color w:val="000000" w:themeColor="text1"/>
              </w:rPr>
            </w:pPr>
          </w:p>
        </w:tc>
        <w:tc>
          <w:tcPr>
            <w:tcW w:w="3260" w:type="dxa"/>
          </w:tcPr>
          <w:p w14:paraId="77EFF3C5" w14:textId="77777777" w:rsidR="001A124D" w:rsidRPr="004F797A" w:rsidRDefault="001A124D">
            <w:pPr>
              <w:spacing w:after="0" w:line="240" w:lineRule="auto"/>
              <w:jc w:val="center"/>
              <w:rPr>
                <w:rFonts w:ascii="Arial" w:hAnsi="Arial" w:cs="Arial"/>
                <w:color w:val="000000" w:themeColor="text1"/>
              </w:rPr>
            </w:pPr>
          </w:p>
        </w:tc>
      </w:tr>
      <w:tr w:rsidR="004F797A" w:rsidRPr="004F797A" w14:paraId="22002DDD" w14:textId="77777777">
        <w:trPr>
          <w:trHeight w:val="633"/>
        </w:trPr>
        <w:tc>
          <w:tcPr>
            <w:tcW w:w="1843" w:type="dxa"/>
          </w:tcPr>
          <w:p w14:paraId="674CFD24" w14:textId="77777777" w:rsidR="001A124D" w:rsidRPr="004F797A" w:rsidRDefault="001A124D">
            <w:pPr>
              <w:spacing w:after="0" w:line="240" w:lineRule="auto"/>
              <w:jc w:val="both"/>
              <w:rPr>
                <w:rFonts w:ascii="Arial" w:hAnsi="Arial" w:cs="Arial"/>
                <w:color w:val="000000" w:themeColor="text1"/>
              </w:rPr>
            </w:pPr>
          </w:p>
        </w:tc>
        <w:tc>
          <w:tcPr>
            <w:tcW w:w="1700" w:type="dxa"/>
          </w:tcPr>
          <w:p w14:paraId="0F9834BC" w14:textId="77777777" w:rsidR="001A124D" w:rsidRPr="004F797A" w:rsidRDefault="001A124D">
            <w:pPr>
              <w:spacing w:after="0" w:line="240" w:lineRule="auto"/>
              <w:jc w:val="both"/>
              <w:rPr>
                <w:rFonts w:ascii="Arial" w:hAnsi="Arial" w:cs="Arial"/>
                <w:color w:val="000000" w:themeColor="text1"/>
              </w:rPr>
            </w:pPr>
          </w:p>
        </w:tc>
        <w:tc>
          <w:tcPr>
            <w:tcW w:w="3686" w:type="dxa"/>
          </w:tcPr>
          <w:p w14:paraId="5D2BBDED" w14:textId="77777777" w:rsidR="001A124D" w:rsidRPr="004F797A" w:rsidRDefault="001A124D">
            <w:pPr>
              <w:spacing w:after="0" w:line="240" w:lineRule="auto"/>
              <w:jc w:val="both"/>
              <w:rPr>
                <w:rFonts w:ascii="Arial" w:hAnsi="Arial" w:cs="Arial"/>
                <w:color w:val="000000" w:themeColor="text1"/>
              </w:rPr>
            </w:pPr>
          </w:p>
        </w:tc>
        <w:tc>
          <w:tcPr>
            <w:tcW w:w="3260" w:type="dxa"/>
          </w:tcPr>
          <w:p w14:paraId="72221EB0" w14:textId="77777777" w:rsidR="001A124D" w:rsidRPr="004F797A" w:rsidRDefault="001A124D">
            <w:pPr>
              <w:spacing w:after="0" w:line="240" w:lineRule="auto"/>
              <w:jc w:val="center"/>
              <w:rPr>
                <w:rFonts w:ascii="Arial" w:hAnsi="Arial" w:cs="Arial"/>
                <w:color w:val="000000" w:themeColor="text1"/>
              </w:rPr>
            </w:pPr>
          </w:p>
        </w:tc>
      </w:tr>
      <w:tr w:rsidR="004F797A" w:rsidRPr="004F797A" w14:paraId="40CB7E04" w14:textId="77777777">
        <w:trPr>
          <w:trHeight w:val="633"/>
        </w:trPr>
        <w:tc>
          <w:tcPr>
            <w:tcW w:w="1843" w:type="dxa"/>
          </w:tcPr>
          <w:p w14:paraId="7BEC4EB9" w14:textId="77777777" w:rsidR="001A124D" w:rsidRPr="004F797A" w:rsidRDefault="001A124D">
            <w:pPr>
              <w:spacing w:after="0" w:line="240" w:lineRule="auto"/>
              <w:jc w:val="both"/>
              <w:rPr>
                <w:rFonts w:ascii="Arial" w:hAnsi="Arial" w:cs="Arial"/>
                <w:color w:val="000000" w:themeColor="text1"/>
              </w:rPr>
            </w:pPr>
          </w:p>
        </w:tc>
        <w:tc>
          <w:tcPr>
            <w:tcW w:w="1700" w:type="dxa"/>
          </w:tcPr>
          <w:p w14:paraId="33950E70" w14:textId="77777777" w:rsidR="001A124D" w:rsidRPr="004F797A" w:rsidRDefault="001A124D">
            <w:pPr>
              <w:spacing w:after="0" w:line="240" w:lineRule="auto"/>
              <w:jc w:val="both"/>
              <w:rPr>
                <w:rFonts w:ascii="Arial" w:hAnsi="Arial" w:cs="Arial"/>
                <w:color w:val="000000" w:themeColor="text1"/>
              </w:rPr>
            </w:pPr>
          </w:p>
        </w:tc>
        <w:tc>
          <w:tcPr>
            <w:tcW w:w="3686" w:type="dxa"/>
          </w:tcPr>
          <w:p w14:paraId="7857A27F" w14:textId="77777777" w:rsidR="001A124D" w:rsidRPr="004F797A" w:rsidRDefault="001A124D">
            <w:pPr>
              <w:spacing w:after="0" w:line="240" w:lineRule="auto"/>
              <w:jc w:val="both"/>
              <w:rPr>
                <w:rFonts w:ascii="Arial" w:hAnsi="Arial" w:cs="Arial"/>
                <w:color w:val="000000" w:themeColor="text1"/>
              </w:rPr>
            </w:pPr>
          </w:p>
        </w:tc>
        <w:tc>
          <w:tcPr>
            <w:tcW w:w="3260" w:type="dxa"/>
          </w:tcPr>
          <w:p w14:paraId="5501CABC" w14:textId="77777777" w:rsidR="001A124D" w:rsidRPr="004F797A" w:rsidRDefault="001A124D">
            <w:pPr>
              <w:spacing w:after="0" w:line="240" w:lineRule="auto"/>
              <w:jc w:val="center"/>
              <w:rPr>
                <w:rFonts w:ascii="Arial" w:hAnsi="Arial" w:cs="Arial"/>
                <w:color w:val="000000" w:themeColor="text1"/>
              </w:rPr>
            </w:pPr>
          </w:p>
        </w:tc>
      </w:tr>
    </w:tbl>
    <w:p w14:paraId="59AE329F" w14:textId="77777777" w:rsidR="001A124D" w:rsidRPr="004F797A" w:rsidRDefault="001A124D" w:rsidP="00C80C52">
      <w:pPr>
        <w:jc w:val="both"/>
        <w:rPr>
          <w:rFonts w:ascii="Arial" w:hAnsi="Arial" w:cs="Arial"/>
          <w:color w:val="000000" w:themeColor="text1"/>
        </w:rPr>
      </w:pPr>
    </w:p>
    <w:sectPr w:rsidR="001A124D" w:rsidRPr="004F797A" w:rsidSect="00C80C52">
      <w:pgSz w:w="11906" w:h="16838"/>
      <w:pgMar w:top="51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BC4A" w14:textId="77777777" w:rsidR="000F7B48" w:rsidRDefault="000F7B48" w:rsidP="00C80C52">
      <w:pPr>
        <w:spacing w:after="0" w:line="240" w:lineRule="auto"/>
      </w:pPr>
      <w:r>
        <w:separator/>
      </w:r>
    </w:p>
  </w:endnote>
  <w:endnote w:type="continuationSeparator" w:id="0">
    <w:p w14:paraId="60BFD979" w14:textId="77777777" w:rsidR="000F7B48" w:rsidRDefault="000F7B48" w:rsidP="00C8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B12F" w14:textId="77777777" w:rsidR="000F7B48" w:rsidRDefault="000F7B48" w:rsidP="00C80C52">
      <w:pPr>
        <w:spacing w:after="0" w:line="240" w:lineRule="auto"/>
      </w:pPr>
      <w:r>
        <w:separator/>
      </w:r>
    </w:p>
  </w:footnote>
  <w:footnote w:type="continuationSeparator" w:id="0">
    <w:p w14:paraId="444760F0" w14:textId="77777777" w:rsidR="000F7B48" w:rsidRDefault="000F7B48" w:rsidP="00C80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3F63"/>
    <w:multiLevelType w:val="multilevel"/>
    <w:tmpl w:val="F90E2A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467B71"/>
    <w:multiLevelType w:val="multilevel"/>
    <w:tmpl w:val="00C00642"/>
    <w:lvl w:ilvl="0">
      <w:numFmt w:val="bullet"/>
      <w:lvlText w:val="-"/>
      <w:lvlJc w:val="left"/>
      <w:pPr>
        <w:tabs>
          <w:tab w:val="num" w:pos="0"/>
        </w:tabs>
        <w:ind w:left="720" w:hanging="360"/>
      </w:pPr>
      <w:rPr>
        <w:rFonts w:ascii="Aptos" w:eastAsiaTheme="minorEastAsia"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97921346">
    <w:abstractNumId w:val="1"/>
  </w:num>
  <w:num w:numId="2" w16cid:durableId="140563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4D"/>
    <w:rsid w:val="000B3FE7"/>
    <w:rsid w:val="000F7B48"/>
    <w:rsid w:val="001A124D"/>
    <w:rsid w:val="004F797A"/>
    <w:rsid w:val="00572AB7"/>
    <w:rsid w:val="00C80C52"/>
    <w:rsid w:val="00D9111B"/>
    <w:rsid w:val="00DF675E"/>
  </w:rsids>
  <m:mathPr>
    <m:mathFont m:val="Cambria Math"/>
    <m:brkBin m:val="before"/>
    <m:brkBinSub m:val="--"/>
    <m:smallFrac m:val="0"/>
    <m:dispDef/>
    <m:lMargin m:val="0"/>
    <m:rMargin m:val="0"/>
    <m:defJc m:val="centerGroup"/>
    <m:wrapIndent m:val="1440"/>
    <m:intLim m:val="subSup"/>
    <m:naryLim m:val="undOvr"/>
  </m:mathPr>
  <w:themeFontLang w:val="fr-FR" w:eastAsia="ko-KR" w:bidi=""/>
  <w:clrSchemeMapping w:bg1="light1" w:t1="dark1" w:bg2="light2" w:t2="dark2" w:accent1="accent1" w:accent2="accent2" w:accent3="accent3" w:accent4="accent4" w:accent5="accent5" w:accent6="accent6" w:hyperlink="hyperlink" w:followedHyperlink="followedHyperlink"/>
  <w:decimalSymbol w:val=","/>
  <w:listSeparator w:val=";"/>
  <w14:docId w14:val="3A23C2E6"/>
  <w15:docId w15:val="{E0AE6BE9-19D5-C64E-B68A-70C2172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itre1">
    <w:name w:val="heading 1"/>
    <w:basedOn w:val="Normal"/>
    <w:next w:val="Normal"/>
    <w:link w:val="Titre1Car"/>
    <w:uiPriority w:val="9"/>
    <w:qFormat/>
    <w:rsid w:val="00FA4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4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49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49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49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49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49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49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49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A49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FA49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FA49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FA49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FA49AD"/>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FA49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FA49AD"/>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FA49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FA49AD"/>
    <w:rPr>
      <w:rFonts w:eastAsiaTheme="majorEastAsia" w:cstheme="majorBidi"/>
      <w:color w:val="272727" w:themeColor="text1" w:themeTint="D8"/>
    </w:rPr>
  </w:style>
  <w:style w:type="character" w:customStyle="1" w:styleId="TitreCar">
    <w:name w:val="Titre Car"/>
    <w:basedOn w:val="Policepardfaut"/>
    <w:link w:val="Titre"/>
    <w:uiPriority w:val="10"/>
    <w:qFormat/>
    <w:rsid w:val="00FA49AD"/>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FA49AD"/>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FA49AD"/>
    <w:rPr>
      <w:i/>
      <w:iCs/>
      <w:color w:val="404040" w:themeColor="text1" w:themeTint="BF"/>
    </w:rPr>
  </w:style>
  <w:style w:type="character" w:styleId="Accentuationintense">
    <w:name w:val="Intense Emphasis"/>
    <w:basedOn w:val="Policepardfaut"/>
    <w:uiPriority w:val="21"/>
    <w:qFormat/>
    <w:rsid w:val="00FA49AD"/>
    <w:rPr>
      <w:i/>
      <w:iCs/>
      <w:color w:val="0F4761" w:themeColor="accent1" w:themeShade="BF"/>
    </w:rPr>
  </w:style>
  <w:style w:type="character" w:customStyle="1" w:styleId="CitationintenseCar">
    <w:name w:val="Citation intense Car"/>
    <w:basedOn w:val="Policepardfaut"/>
    <w:link w:val="Citationintense"/>
    <w:uiPriority w:val="30"/>
    <w:qFormat/>
    <w:rsid w:val="00FA49AD"/>
    <w:rPr>
      <w:i/>
      <w:iCs/>
      <w:color w:val="0F4761" w:themeColor="accent1" w:themeShade="BF"/>
    </w:rPr>
  </w:style>
  <w:style w:type="character" w:styleId="Rfrenceintense">
    <w:name w:val="Intense Reference"/>
    <w:basedOn w:val="Policepardfaut"/>
    <w:uiPriority w:val="32"/>
    <w:qFormat/>
    <w:rsid w:val="00FA49AD"/>
    <w:rPr>
      <w:b/>
      <w:bCs/>
      <w:smallCaps/>
      <w:color w:val="0F4761" w:themeColor="accent1" w:themeShade="BF"/>
      <w:spacing w:val="5"/>
    </w:rPr>
  </w:style>
  <w:style w:type="character" w:styleId="Lienhypertexte">
    <w:name w:val="Hyperlink"/>
    <w:basedOn w:val="Policepardfaut"/>
    <w:uiPriority w:val="99"/>
    <w:unhideWhenUsed/>
    <w:rsid w:val="00363D3B"/>
    <w:rPr>
      <w:color w:val="0000FF"/>
      <w:u w:val="single"/>
    </w:rPr>
  </w:style>
  <w:style w:type="character" w:styleId="Lienhypertextesuivivisit">
    <w:name w:val="FollowedHyperlink"/>
    <w:basedOn w:val="Policepardfaut"/>
    <w:uiPriority w:val="99"/>
    <w:semiHidden/>
    <w:unhideWhenUsed/>
    <w:rsid w:val="00363D3B"/>
    <w:rPr>
      <w:color w:val="96607D" w:themeColor="followedHyperlink"/>
      <w:u w:val="single"/>
    </w:rPr>
  </w:style>
  <w:style w:type="character" w:styleId="Mentionnonrsolue">
    <w:name w:val="Unresolved Mention"/>
    <w:basedOn w:val="Policepardfaut"/>
    <w:uiPriority w:val="99"/>
    <w:semiHidden/>
    <w:unhideWhenUsed/>
    <w:qFormat/>
    <w:rsid w:val="00DC7187"/>
    <w:rPr>
      <w:color w:val="605E5C"/>
      <w:shd w:val="clear" w:color="auto" w:fill="E1DFDD"/>
    </w:rPr>
  </w:style>
  <w:style w:type="paragraph" w:styleId="Titre">
    <w:name w:val="Title"/>
    <w:basedOn w:val="Normal"/>
    <w:next w:val="Corpsdetexte"/>
    <w:link w:val="TitreCar"/>
    <w:uiPriority w:val="10"/>
    <w:qFormat/>
    <w:rsid w:val="00FA49AD"/>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user">
    <w:name w:val="Titre (user)"/>
    <w:basedOn w:val="Normal"/>
    <w:next w:val="Corpsdetexte"/>
    <w:qFormat/>
    <w:pPr>
      <w:keepNext/>
      <w:spacing w:before="240" w:after="120"/>
    </w:pPr>
    <w:rPr>
      <w:rFonts w:ascii="Liberation Sans" w:eastAsia="Microsoft YaHei" w:hAnsi="Liberation Sans" w:cs="Arial"/>
      <w:sz w:val="28"/>
      <w:szCs w:val="28"/>
    </w:rPr>
  </w:style>
  <w:style w:type="paragraph" w:styleId="Sous-titre">
    <w:name w:val="Subtitle"/>
    <w:basedOn w:val="Normal"/>
    <w:next w:val="Normal"/>
    <w:link w:val="Sous-titreCar"/>
    <w:uiPriority w:val="11"/>
    <w:qFormat/>
    <w:rsid w:val="00FA49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49AD"/>
    <w:pPr>
      <w:spacing w:before="160"/>
      <w:jc w:val="center"/>
    </w:pPr>
    <w:rPr>
      <w:i/>
      <w:iCs/>
      <w:color w:val="404040" w:themeColor="text1" w:themeTint="BF"/>
    </w:rPr>
  </w:style>
  <w:style w:type="paragraph" w:styleId="Paragraphedeliste">
    <w:name w:val="List Paragraph"/>
    <w:basedOn w:val="Normal"/>
    <w:uiPriority w:val="34"/>
    <w:qFormat/>
    <w:rsid w:val="00FA49AD"/>
    <w:pPr>
      <w:ind w:left="720"/>
      <w:contextualSpacing/>
    </w:pPr>
  </w:style>
  <w:style w:type="paragraph" w:styleId="Citationintense">
    <w:name w:val="Intense Quote"/>
    <w:basedOn w:val="Normal"/>
    <w:next w:val="Normal"/>
    <w:link w:val="CitationintenseCar"/>
    <w:uiPriority w:val="30"/>
    <w:qFormat/>
    <w:rsid w:val="00FA4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numbering" w:customStyle="1" w:styleId="Pasdeliste">
    <w:name w:val="Pas de liste"/>
    <w:uiPriority w:val="99"/>
    <w:semiHidden/>
    <w:unhideWhenUsed/>
    <w:qFormat/>
  </w:style>
  <w:style w:type="table" w:styleId="Grilledutableau">
    <w:name w:val="Table Grid"/>
    <w:basedOn w:val="TableauNormal"/>
    <w:uiPriority w:val="39"/>
    <w:rsid w:val="00E7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0C52"/>
    <w:pPr>
      <w:tabs>
        <w:tab w:val="center" w:pos="4536"/>
        <w:tab w:val="right" w:pos="9072"/>
      </w:tabs>
      <w:spacing w:after="0" w:line="240" w:lineRule="auto"/>
    </w:pPr>
  </w:style>
  <w:style w:type="character" w:customStyle="1" w:styleId="En-tteCar">
    <w:name w:val="En-tête Car"/>
    <w:basedOn w:val="Policepardfaut"/>
    <w:link w:val="En-tte"/>
    <w:uiPriority w:val="99"/>
    <w:rsid w:val="00C80C52"/>
  </w:style>
  <w:style w:type="paragraph" w:styleId="Pieddepage">
    <w:name w:val="footer"/>
    <w:basedOn w:val="Normal"/>
    <w:link w:val="PieddepageCar"/>
    <w:uiPriority w:val="99"/>
    <w:unhideWhenUsed/>
    <w:rsid w:val="00C80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274</Words>
  <Characters>1509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Barbier</dc:creator>
  <dc:description/>
  <cp:lastModifiedBy>FLORIAN PERRET</cp:lastModifiedBy>
  <cp:revision>10</cp:revision>
  <dcterms:created xsi:type="dcterms:W3CDTF">2025-06-10T17:34:00Z</dcterms:created>
  <dcterms:modified xsi:type="dcterms:W3CDTF">2025-06-12T18:48:00Z</dcterms:modified>
  <dc:language>fr-FR</dc:language>
</cp:coreProperties>
</file>